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DOHODA O ODBORNEJ PRAXI ŠTUDENTA</w:t>
      </w:r>
    </w:p>
    <w:p>
      <w:pPr>
        <w:pStyle w:val="Normal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I. Zmluvné strany</w:t>
      </w:r>
    </w:p>
    <w:tbl>
      <w:tblPr>
        <w:tblW w:w="9972" w:type="dxa"/>
        <w:jc w:val="start"/>
        <w:tblInd w:w="0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2045"/>
        <w:gridCol w:w="7927"/>
      </w:tblGrid>
      <w:tr>
        <w:trPr/>
        <w:tc>
          <w:tcPr>
            <w:tcW w:w="997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Univerzita Konštantína Filozofa v Nitre</w:t>
            </w:r>
          </w:p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Filozofická fakulta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sídlo</w:t>
            </w:r>
          </w:p>
        </w:tc>
        <w:tc>
          <w:tcPr>
            <w:tcW w:w="792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Štefánikova 67, 949 74 Nitra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IČO</w:t>
            </w:r>
          </w:p>
        </w:tc>
        <w:tc>
          <w:tcPr>
            <w:tcW w:w="792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00157716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 zastúpení</w:t>
            </w:r>
          </w:p>
        </w:tc>
        <w:tc>
          <w:tcPr>
            <w:tcW w:w="792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prof. PhDr. Martin Hetényi, PhD.</w:t>
            </w:r>
          </w:p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dekan fakulty</w:t>
            </w:r>
          </w:p>
        </w:tc>
      </w:tr>
    </w:tbl>
    <w:p>
      <w:pPr>
        <w:pStyle w:val="Normal"/>
        <w:rPr/>
      </w:pPr>
      <w:r>
        <w:rPr>
          <w:rStyle w:val="Predvolenpsmoodseku"/>
          <w:rFonts w:ascii="Times New Roman" w:hAnsi="Times New Roman"/>
          <w:lang w:val="sk-SK"/>
        </w:rPr>
        <w:t>(ďalej len „</w:t>
      </w:r>
      <w:r>
        <w:rPr>
          <w:rStyle w:val="Predvolenpsmoodseku"/>
          <w:rFonts w:ascii="Times New Roman" w:hAnsi="Times New Roman"/>
          <w:b/>
          <w:bCs/>
          <w:lang w:val="sk-SK"/>
        </w:rPr>
        <w:t>Univerzita</w:t>
      </w:r>
      <w:r>
        <w:rPr>
          <w:rStyle w:val="Predvolenpsmoodseku"/>
          <w:rFonts w:ascii="Times New Roman" w:hAnsi="Times New Roman"/>
          <w:lang w:val="sk-SK"/>
        </w:rPr>
        <w:t>“)</w:t>
      </w:r>
    </w:p>
    <w:p>
      <w:pPr>
        <w:pStyle w:val="Normal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a</w:t>
      </w:r>
    </w:p>
    <w:p>
      <w:pPr>
        <w:pStyle w:val="Normal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tbl>
      <w:tblPr>
        <w:tblW w:w="9972" w:type="dxa"/>
        <w:jc w:val="start"/>
        <w:tblInd w:w="0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2045"/>
        <w:gridCol w:w="7927"/>
      </w:tblGrid>
      <w:tr>
        <w:trPr/>
        <w:tc>
          <w:tcPr>
            <w:tcW w:w="997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i/>
                <w:i/>
                <w:iCs/>
                <w:highlight w:val="yellow"/>
                <w:lang w:val="sk-SK"/>
              </w:rPr>
            </w:pPr>
            <w:r>
              <w:rPr>
                <w:rFonts w:ascii="Times New Roman" w:hAnsi="Times New Roman"/>
                <w:i/>
                <w:iCs/>
                <w:highlight w:val="yellow"/>
                <w:lang w:val="sk-SK"/>
              </w:rPr>
              <w:t>názov spoločnosti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sídlo</w:t>
            </w:r>
          </w:p>
        </w:tc>
        <w:tc>
          <w:tcPr>
            <w:tcW w:w="7927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highlight w:val="yellow"/>
                <w:lang w:val="sk-SK"/>
              </w:rPr>
            </w:pPr>
            <w:r>
              <w:rPr>
                <w:rFonts w:ascii="Times New Roman" w:hAnsi="Times New Roman"/>
                <w:i/>
                <w:iCs/>
                <w:highlight w:val="yellow"/>
                <w:lang w:val="sk-SK"/>
              </w:rPr>
              <w:t>doplniť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IČO</w:t>
            </w:r>
          </w:p>
        </w:tc>
        <w:tc>
          <w:tcPr>
            <w:tcW w:w="7927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highlight w:val="yellow"/>
                <w:lang w:val="sk-SK"/>
              </w:rPr>
            </w:pPr>
            <w:r>
              <w:rPr>
                <w:rFonts w:ascii="Times New Roman" w:hAnsi="Times New Roman"/>
                <w:i/>
                <w:iCs/>
                <w:highlight w:val="yellow"/>
                <w:lang w:val="sk-SK"/>
              </w:rPr>
              <w:t>doplniť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 zastúpení</w:t>
            </w:r>
          </w:p>
        </w:tc>
        <w:tc>
          <w:tcPr>
            <w:tcW w:w="7927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highlight w:val="yellow"/>
                <w:lang w:val="sk-SK"/>
              </w:rPr>
            </w:pPr>
            <w:r>
              <w:rPr>
                <w:rFonts w:ascii="Times New Roman" w:hAnsi="Times New Roman"/>
                <w:i/>
                <w:iCs/>
                <w:highlight w:val="yellow"/>
                <w:lang w:val="sk-SK"/>
              </w:rPr>
              <w:t>doplniť</w:t>
            </w:r>
          </w:p>
        </w:tc>
      </w:tr>
    </w:tbl>
    <w:p>
      <w:pPr>
        <w:pStyle w:val="Normal"/>
        <w:rPr/>
      </w:pPr>
      <w:r>
        <w:rPr>
          <w:rStyle w:val="Predvolenpsmoodseku"/>
          <w:rFonts w:ascii="Times New Roman" w:hAnsi="Times New Roman"/>
          <w:lang w:val="sk-SK"/>
        </w:rPr>
        <w:t>(ďalej len „</w:t>
      </w:r>
      <w:r>
        <w:rPr>
          <w:rStyle w:val="Predvolenpsmoodseku"/>
          <w:rFonts w:ascii="Times New Roman" w:hAnsi="Times New Roman"/>
          <w:b/>
          <w:bCs/>
          <w:lang w:val="sk-SK"/>
        </w:rPr>
        <w:t>Poskytovateľ</w:t>
      </w:r>
      <w:r>
        <w:rPr>
          <w:rStyle w:val="Predvolenpsmoodseku"/>
          <w:rFonts w:ascii="Times New Roman" w:hAnsi="Times New Roman"/>
          <w:lang w:val="sk-SK"/>
        </w:rPr>
        <w:t>“)</w:t>
      </w:r>
    </w:p>
    <w:p>
      <w:pPr>
        <w:pStyle w:val="Normal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a</w:t>
      </w:r>
    </w:p>
    <w:p>
      <w:pPr>
        <w:pStyle w:val="Normal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tbl>
      <w:tblPr>
        <w:tblW w:w="9972" w:type="dxa"/>
        <w:jc w:val="start"/>
        <w:tblInd w:w="0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2045"/>
        <w:gridCol w:w="7927"/>
      </w:tblGrid>
      <w:tr>
        <w:trPr/>
        <w:tc>
          <w:tcPr>
            <w:tcW w:w="9972" w:type="dxa"/>
            <w:gridSpan w:val="2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highlight w:val="yellow"/>
                <w:lang w:val="sk-SK"/>
              </w:rPr>
            </w:pPr>
            <w:r>
              <w:rPr>
                <w:rFonts w:ascii="Times New Roman" w:hAnsi="Times New Roman"/>
                <w:i/>
                <w:iCs/>
                <w:highlight w:val="yellow"/>
                <w:lang w:val="sk-SK"/>
              </w:rPr>
              <w:t>meno študenta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bytom</w:t>
            </w:r>
          </w:p>
        </w:tc>
        <w:tc>
          <w:tcPr>
            <w:tcW w:w="7927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highlight w:val="yellow"/>
                <w:lang w:val="sk-SK"/>
              </w:rPr>
            </w:pPr>
            <w:r>
              <w:rPr>
                <w:rFonts w:ascii="Times New Roman" w:hAnsi="Times New Roman"/>
                <w:i/>
                <w:iCs/>
                <w:highlight w:val="yellow"/>
                <w:lang w:val="sk-SK"/>
              </w:rPr>
              <w:t>doplniť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dátum narodenia</w:t>
            </w:r>
          </w:p>
        </w:tc>
        <w:tc>
          <w:tcPr>
            <w:tcW w:w="7927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highlight w:val="yellow"/>
                <w:lang w:val="sk-SK"/>
              </w:rPr>
            </w:pPr>
            <w:r>
              <w:rPr>
                <w:rFonts w:ascii="Times New Roman" w:hAnsi="Times New Roman"/>
                <w:i/>
                <w:iCs/>
                <w:highlight w:val="yellow"/>
                <w:lang w:val="sk-SK"/>
              </w:rPr>
              <w:t>doplniť</w:t>
            </w:r>
          </w:p>
        </w:tc>
      </w:tr>
    </w:tbl>
    <w:p>
      <w:pPr>
        <w:pStyle w:val="Normal"/>
        <w:rPr/>
      </w:pPr>
      <w:r>
        <w:rPr>
          <w:rStyle w:val="Predvolenpsmoodseku"/>
          <w:rFonts w:ascii="Times New Roman" w:hAnsi="Times New Roman"/>
          <w:lang w:val="sk-SK"/>
        </w:rPr>
        <w:t>(ďalej len „</w:t>
      </w:r>
      <w:r>
        <w:rPr>
          <w:rStyle w:val="Predvolenpsmoodseku"/>
          <w:rFonts w:ascii="Times New Roman" w:hAnsi="Times New Roman"/>
          <w:b/>
          <w:bCs/>
          <w:lang w:val="sk-SK"/>
        </w:rPr>
        <w:t>Študent</w:t>
      </w:r>
      <w:r>
        <w:rPr>
          <w:rStyle w:val="Predvolenpsmoodseku"/>
          <w:rFonts w:ascii="Times New Roman" w:hAnsi="Times New Roman"/>
          <w:lang w:val="sk-SK"/>
        </w:rPr>
        <w:t>“)</w:t>
      </w:r>
    </w:p>
    <w:p>
      <w:pPr>
        <w:pStyle w:val="Normal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both"/>
        <w:rPr/>
      </w:pPr>
      <w:r>
        <w:rPr>
          <w:rStyle w:val="Predvolenpsmoodseku"/>
          <w:rFonts w:ascii="Times New Roman" w:hAnsi="Times New Roman"/>
          <w:lang w:val="sk-SK"/>
        </w:rPr>
        <w:t>v zmysle § 51 Občianskeho zákonníka a Zákona č. 131/2002 Z.z. o vysokých školách týmto uzatvárajú Dohodu o odbornej praxi študenta (ďalej len „</w:t>
      </w:r>
      <w:r>
        <w:rPr>
          <w:rStyle w:val="Predvolenpsmoodseku"/>
          <w:rFonts w:ascii="Times New Roman" w:hAnsi="Times New Roman"/>
          <w:b/>
          <w:bCs/>
          <w:lang w:val="sk-SK"/>
        </w:rPr>
        <w:t>Dohoda</w:t>
      </w:r>
      <w:r>
        <w:rPr>
          <w:rStyle w:val="Predvolenpsmoodseku"/>
          <w:rFonts w:ascii="Times New Roman" w:hAnsi="Times New Roman"/>
          <w:lang w:val="sk-SK"/>
        </w:rPr>
        <w:t>“).</w:t>
      </w:r>
    </w:p>
    <w:p>
      <w:pPr>
        <w:pStyle w:val="Normal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II. Predmet a cieľ Dohody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Predmetom tejto Dohody je bezodplatné vykonanie odbornej praxe Študenta na pracovisku Poskytovateľa alebo inak spôsobom primerane umožňujúcim dosiahnutie cieľa Dohody.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 xml:space="preserve">Cieľom plnenia Dohody je overenie teoretických poznatkov </w:t>
      </w:r>
      <w:r>
        <w:rPr>
          <w:rStyle w:val="Predvolenpsmoodseku"/>
          <w:rFonts w:ascii="Times New Roman" w:hAnsi="Times New Roman"/>
          <w:b/>
          <w:lang w:val="sk-SK"/>
        </w:rPr>
        <w:t xml:space="preserve">Študenta študijného programu anglický jazyk v odbornej komunikácii </w:t>
      </w:r>
      <w:r>
        <w:rPr>
          <w:rStyle w:val="Predvolenpsmoodseku"/>
          <w:rFonts w:ascii="Times New Roman" w:hAnsi="Times New Roman"/>
          <w:lang w:val="sk-SK"/>
        </w:rPr>
        <w:t>a schopnosti ich aplikácie v konkrétnych, praktických podmienkach Poskytovateľa s cieľom dosiahnuť potrebnú úroveň a pripravenosť Študenta na budúce povolanie pod dohľadom a odborným vedením pracovníkov Poskytovateľa.</w:t>
      </w:r>
    </w:p>
    <w:p>
      <w:pPr>
        <w:pStyle w:val="Normal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III. Doba plnenia Dohody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Dohoda sa uzatvára na dobu určitú, od (</w:t>
      </w:r>
      <w:r>
        <w:rPr>
          <w:rStyle w:val="Predvolenpsmoodseku"/>
          <w:rFonts w:ascii="Times New Roman" w:hAnsi="Times New Roman"/>
          <w:i/>
          <w:iCs/>
          <w:lang w:val="sk-SK"/>
        </w:rPr>
        <w:t>dátum</w:t>
      </w:r>
      <w:r>
        <w:rPr>
          <w:rStyle w:val="Predvolenpsmoodseku"/>
          <w:rFonts w:ascii="Times New Roman" w:hAnsi="Times New Roman"/>
          <w:lang w:val="sk-SK"/>
        </w:rPr>
        <w:t>)................. do .....................(</w:t>
      </w:r>
      <w:r>
        <w:rPr>
          <w:rStyle w:val="Predvolenpsmoodseku"/>
          <w:rFonts w:ascii="Times New Roman" w:hAnsi="Times New Roman"/>
          <w:i/>
          <w:iCs/>
          <w:lang w:val="sk-SK"/>
        </w:rPr>
        <w:t>dátum</w:t>
      </w:r>
      <w:r>
        <w:rPr>
          <w:rStyle w:val="Predvolenpsmoodseku"/>
          <w:rFonts w:ascii="Times New Roman" w:hAnsi="Times New Roman"/>
          <w:lang w:val="sk-SK"/>
        </w:rPr>
        <w:t>).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 xml:space="preserve">Odborná prax študenta bude uskutočňovaná v rozsahu </w:t>
      </w:r>
      <w:r>
        <w:rPr>
          <w:rStyle w:val="Predvolenpsmoodseku"/>
          <w:rFonts w:ascii="Times New Roman" w:hAnsi="Times New Roman"/>
          <w:b/>
          <w:lang w:val="sk-SK"/>
        </w:rPr>
        <w:t>40 hodín,</w:t>
      </w:r>
      <w:r>
        <w:rPr>
          <w:rStyle w:val="Predvolenpsmoodseku"/>
          <w:rFonts w:ascii="Times New Roman" w:hAnsi="Times New Roman"/>
          <w:lang w:val="sk-SK"/>
        </w:rPr>
        <w:t xml:space="preserve"> pričom výkon odbornej praxe neznemožní Študentovi plniť si iné povinnosti vyplývajúce zo Študijného poriadku Univerzity Konštantína Filozofa v Nitre.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 xml:space="preserve">Plnenie Dohody musí byť ukončené najneskôr </w:t>
      </w:r>
      <w:r>
        <w:rPr>
          <w:rStyle w:val="Predvolenpsmoodseku"/>
          <w:rFonts w:ascii="Times New Roman" w:hAnsi="Times New Roman"/>
          <w:b/>
          <w:lang w:val="sk-SK"/>
        </w:rPr>
        <w:t>14 dní</w:t>
      </w:r>
      <w:r>
        <w:rPr>
          <w:rStyle w:val="Predvolenpsmoodseku"/>
          <w:rFonts w:ascii="Times New Roman" w:hAnsi="Times New Roman"/>
          <w:lang w:val="sk-SK"/>
        </w:rPr>
        <w:t xml:space="preserve"> pred koncom skúškového obdobia semestra, v ktorom Študent absolvuje predmet odborná prax, ako vyplýva z Harmonogramu príslušného akademického roka zverejneného Univerzitou.</w:t>
      </w:r>
    </w:p>
    <w:p>
      <w:pPr>
        <w:pStyle w:val="Normal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IV. Práva a povinnosti zmluvných strán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Univerzita: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poverí svojho zamestnanca: doc. Elena Ciprianová, PhD. (ďalej „</w:t>
      </w:r>
      <w:r>
        <w:rPr>
          <w:rStyle w:val="Predvolenpsmoodseku"/>
          <w:rFonts w:ascii="Times New Roman" w:hAnsi="Times New Roman"/>
          <w:b/>
          <w:bCs/>
          <w:lang w:val="sk-SK"/>
        </w:rPr>
        <w:t>Garant odbornej praxe</w:t>
      </w:r>
      <w:r>
        <w:rPr>
          <w:rStyle w:val="Predvolenpsmoodseku"/>
          <w:rFonts w:ascii="Times New Roman" w:hAnsi="Times New Roman"/>
          <w:lang w:val="sk-SK"/>
        </w:rPr>
        <w:t>“) garanciou odbornej praxe;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prostredníctvom garanta odbornej praxe:</w:t>
      </w:r>
    </w:p>
    <w:p>
      <w:pPr>
        <w:pStyle w:val="Normal"/>
        <w:numPr>
          <w:ilvl w:val="2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poskytne Študentovi:</w:t>
      </w:r>
    </w:p>
    <w:p>
      <w:pPr>
        <w:pStyle w:val="Normal"/>
        <w:numPr>
          <w:ilvl w:val="3"/>
          <w:numId w:val="3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informácie o organizácii praxe, o podmienkach dojednania Dohody, o obsahovom zameraní odbornej praxe a o požiadavkách na obsahovú náplň dokumentu Hodnotenie praxe v inštitúcii z pohľadu študenta;</w:t>
      </w:r>
    </w:p>
    <w:p>
      <w:pPr>
        <w:pStyle w:val="Normal"/>
        <w:numPr>
          <w:ilvl w:val="3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návrh Dohody;</w:t>
      </w:r>
    </w:p>
    <w:p>
      <w:pPr>
        <w:pStyle w:val="Normal"/>
        <w:numPr>
          <w:ilvl w:val="2"/>
          <w:numId w:val="3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rozhodne o udelení hodnotenia „absolvoval/a“ z predmetu odborná prax Študentovi na základe Výkazu o odbornej praxi študenta, ktorým Poskytovateľ potvrdí vykonanie odbornej praxe a v ktorom uvedie navrhované hodnotenie, avšak zohľadňujúc aj Študentom vypracované Hodnotenie praxe v inštitúcii z pohľadu študenta;</w:t>
      </w:r>
    </w:p>
    <w:p>
      <w:pPr>
        <w:pStyle w:val="Normal"/>
        <w:numPr>
          <w:ilvl w:val="2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spravuje vyplnenú a účastníkmi podpísanú Dohodu a ostatné dokumenty súvisiace s plnením Dohody.</w:t>
      </w:r>
    </w:p>
    <w:p>
      <w:pPr>
        <w:pStyle w:val="Normal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Poskytovateľ odbornej praxe: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vytvorí Študentovi primerané podmienky na plnenie cieľa tejto Dohody a umožní Študentovi využiť jeho vedomostný a osobnostný potenciál pre napĺňanie cieľov Poskytovateľa, zohľadňujúc relevantné očakávania a požiadavky študenta v súvislosti s obsahom a priebehom odbornej praxe;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 xml:space="preserve">poverí svojho zamestnanca </w:t>
      </w:r>
      <w:r>
        <w:rPr>
          <w:rStyle w:val="Predvolenpsmoodseku"/>
          <w:rFonts w:ascii="Times New Roman" w:hAnsi="Times New Roman"/>
          <w:highlight w:val="yellow"/>
          <w:lang w:val="sk-SK"/>
        </w:rPr>
        <w:t>(</w:t>
      </w:r>
      <w:r>
        <w:rPr>
          <w:rStyle w:val="Predvolenpsmoodseku"/>
          <w:rFonts w:ascii="Times New Roman" w:hAnsi="Times New Roman"/>
          <w:i/>
          <w:iCs/>
          <w:highlight w:val="yellow"/>
          <w:lang w:val="sk-SK"/>
        </w:rPr>
        <w:t>meno a priezvisko</w:t>
      </w:r>
      <w:r>
        <w:rPr>
          <w:rStyle w:val="Predvolenpsmoodseku"/>
          <w:rFonts w:ascii="Times New Roman" w:hAnsi="Times New Roman"/>
          <w:highlight w:val="yellow"/>
          <w:lang w:val="sk-SK"/>
        </w:rPr>
        <w:t>).................................................</w:t>
      </w:r>
      <w:r>
        <w:rPr>
          <w:rStyle w:val="Predvolenpsmoodseku"/>
          <w:rFonts w:ascii="Times New Roman" w:hAnsi="Times New Roman"/>
          <w:lang w:val="sk-SK"/>
        </w:rPr>
        <w:t xml:space="preserve"> poskytovaním odbornej pomoci Študentovi, dohľadom nad plnením Dohody, plnením obsahovej náplne odbornej praxe;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bude nápomocný pri získavaní potrebných údajov na vypracovanie Hodnotenia praxe v inštitúcii z pohľadu študenta;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na začiatku praxe zrozumiteľne a preukázateľne vykoná poučenie o bezpečnosti a ochrane zdravia pri práci v súlade so Zákonom č. 124/2006 Z. z. a inými relevantnými právnymi predpismi, ako aj poučenie o ochrane pred požiarmi v súlade so Zákona č. 314/2001 Z. z. a inými relevantnými právnymi predpismi;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odstraňuje vzniknuté organizačné problémy súvisiace s plnením Dohody v súčinnosti s Garantom odbornej praxe;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po ukončení odbornej praxe vydá Študentovi Výkaz o odbornej praxi študenta, ktorý slúži ako potvrdenie o naplnení predmetu Dohody a ktorý obsahuje stručné hodnotenie výkonu Študenta;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 súlade s platnými právnymi predpismi a s inými právne záväznými zmluvami a dohodami Poskytovateľa v primeranom rozsahu umožní Garantovi odbornej praxe kontrolu Študentom plnených úloh;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 osobnými údajmi Študenta bude nakladať iba v súlade so Zákonom č. 18/2018 Z. z. a v dohodnutom rozsahu.</w:t>
      </w:r>
    </w:p>
    <w:p>
      <w:pPr>
        <w:pStyle w:val="Normal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Študent: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osobne zabezpečí podpísanie tejto Dohody;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počas výkonu odbornej praxe</w:t>
      </w:r>
    </w:p>
    <w:p>
      <w:pPr>
        <w:pStyle w:val="Normal"/>
        <w:numPr>
          <w:ilvl w:val="2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riadne a včas plní pridelené pracovné úlohy;</w:t>
      </w:r>
    </w:p>
    <w:p>
      <w:pPr>
        <w:pStyle w:val="Normal"/>
        <w:numPr>
          <w:ilvl w:val="2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dodržiava všetky predpisy a nariadenia platné pre Poskytovateľa a pre osoby zabezpečujúce činnosť Poskytovateľa, s ktorými bol riadne a preukázateľne oboznámený;</w:t>
      </w:r>
    </w:p>
    <w:p>
      <w:pPr>
        <w:pStyle w:val="Normal"/>
        <w:numPr>
          <w:ilvl w:val="2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písomne spracováva informácie o jej priebehu a zahrnie ju do Hodnotenia praxe v inštitúcii z pohľadu študenta, ktorú predloží Garantovi odbornej praxe ako podklad na udelenie hodnotenia;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počas výkonu odbornej praxe aj po jej ukončení v súlade s relevantnými právnymi predpismi a inými právne záväznými zmluvami a dohodami Poskytovateľa primerane zachováva mlčanlivosť o skutočnostiach, o ktorých sa dozvedel pri výkone odbornej praxe;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 ukončení odbornej praxe odovzdá Garantovi Výkaz o odbornej praxi študenta, Hodnotenie praxe v inštitúcii z pohľadu študenta a iné prípadné dokumenty a podklady potrebné na hodnotenie vykonania odbornej praxe;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okamžite a bezodkladne informuje Garanta odbornej praxe o okolnostiach brániacich plneniu tejto Dohody;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dáva Poskytovateľovi a Univerzite súhlas v zmysle Zákona č. 18/2018 Z. z. na spracovávanie a uchovávanie jeho osobných údajov na účely plnenia Dohody.</w:t>
      </w:r>
    </w:p>
    <w:p>
      <w:pPr>
        <w:pStyle w:val="Normal"/>
        <w:tabs>
          <w:tab w:val="clear" w:pos="709"/>
        </w:tabs>
        <w:ind w:start="357" w:hanging="35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V. Zodpovednosť za škodu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Zodpovednosť za prípadné škody vzniknuté počas plnenia tejto Dohody sa riadi príslušnými všeobecne záväznými právnymi predpismi.</w:t>
      </w:r>
    </w:p>
    <w:p>
      <w:pPr>
        <w:pStyle w:val="Normal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VI. Ostatné dojednania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Počas výkonu odbornej praxe na základe tejto Dohody Študentovi ostáva jeho právne postavenie študenta vysokej školy nezmenené, a to aj v oblasti poistenia (zdravotného, nemocenského, dôchodkového a pod.) v zmysle platných všeobecne záväzných právnych predpisov.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Náklady na ubytovanie, cestovné a stravné, ktoré vzniknú študentovi v súvislosti s výkonom odbornej praxe, si hradí Študent sám, pokiaľ sa s Poskytovateľom písomne nedohodne inak.</w:t>
      </w:r>
    </w:p>
    <w:p>
      <w:pPr>
        <w:pStyle w:val="Normal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VII. Záverečné ustanovenia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Dohoda nadobúda platnosť dňom jej podpisu Zmluvnými stranami.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Právne vzťahy Zmluvných strán touto Dohodou bližšie neupravené sa riadia právnymi predpismi uvedenými v článku I Dohody.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Prípadné spory vyplývajúce z plnenia predmetu Dohody budú Zmluvné strany prednostne riešiť dohodou na základe vzájomného rokovania.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Akékoľvek zmeny a doplnenia tejto Dohody možno vykonať len písomne po súhlase všetkých Zmluvných strán.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Style w:val="Predvolenpsmoodseku"/>
          <w:rFonts w:ascii="Times New Roman" w:hAnsi="Times New Roman"/>
          <w:lang w:val="sk-SK"/>
        </w:rPr>
        <w:t>Dohoda sa vyhotovuje v 3 rovnopisoch, každá Zmluvná strana dostane jedno vyhotovenie Dohody.</w:t>
      </w:r>
    </w:p>
    <w:p>
      <w:pPr>
        <w:pStyle w:val="Normal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p>
      <w:pPr>
        <w:pStyle w:val="Normal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tbl>
      <w:tblPr>
        <w:tblW w:w="9972" w:type="dxa"/>
        <w:jc w:val="start"/>
        <w:tblInd w:w="0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332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Predvolenpsmoodseku"/>
                <w:rFonts w:ascii="Times New Roman" w:hAnsi="Times New Roman"/>
                <w:lang w:val="sk-SK"/>
              </w:rPr>
              <w:t xml:space="preserve">V Nitre dňa </w:t>
            </w:r>
            <w:r>
              <w:rPr>
                <w:rStyle w:val="Predvolenpsmoodseku"/>
                <w:rFonts w:ascii="Times New Roman" w:hAnsi="Times New Roman"/>
                <w:u w:val="dotted"/>
                <w:lang w:val="sk-SK"/>
              </w:rPr>
              <w:t xml:space="preserve">                  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Predvolenpsmoodseku"/>
                <w:rFonts w:ascii="Times New Roman" w:hAnsi="Times New Roman"/>
                <w:lang w:val="sk-SK"/>
              </w:rPr>
              <w:t xml:space="preserve">V </w:t>
            </w:r>
            <w:r>
              <w:rPr>
                <w:rStyle w:val="Predvolenpsmoodseku"/>
                <w:rFonts w:ascii="Times New Roman" w:hAnsi="Times New Roman"/>
                <w:u w:val="dotted"/>
                <w:lang w:val="sk-SK"/>
              </w:rPr>
              <w:t xml:space="preserve">                      </w:t>
            </w:r>
            <w:r>
              <w:rPr>
                <w:rStyle w:val="Predvolenpsmoodseku"/>
                <w:rFonts w:ascii="Times New Roman" w:hAnsi="Times New Roman"/>
                <w:lang w:val="sk-SK"/>
              </w:rPr>
              <w:t xml:space="preserve"> dňa </w:t>
            </w:r>
            <w:r>
              <w:rPr>
                <w:rStyle w:val="Predvolenpsmoodseku"/>
                <w:rFonts w:ascii="Times New Roman" w:hAnsi="Times New Roman"/>
                <w:u w:val="dotted"/>
                <w:lang w:val="sk-SK"/>
              </w:rPr>
              <w:t xml:space="preserve">                  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Predvolenpsmoodseku"/>
                <w:rFonts w:ascii="Times New Roman" w:hAnsi="Times New Roman"/>
                <w:lang w:val="sk-SK"/>
              </w:rPr>
              <w:t xml:space="preserve">V </w:t>
            </w:r>
            <w:r>
              <w:rPr>
                <w:rStyle w:val="Predvolenpsmoodseku"/>
                <w:rFonts w:ascii="Times New Roman" w:hAnsi="Times New Roman"/>
                <w:u w:val="dotted"/>
                <w:lang w:val="sk-SK"/>
              </w:rPr>
              <w:t xml:space="preserve">                      </w:t>
            </w:r>
            <w:r>
              <w:rPr>
                <w:rStyle w:val="Predvolenpsmoodseku"/>
                <w:rFonts w:ascii="Times New Roman" w:hAnsi="Times New Roman"/>
                <w:lang w:val="sk-SK"/>
              </w:rPr>
              <w:t xml:space="preserve"> dňa </w:t>
            </w:r>
            <w:r>
              <w:rPr>
                <w:rStyle w:val="Predvolenpsmoodseku"/>
                <w:rFonts w:ascii="Times New Roman" w:hAnsi="Times New Roman"/>
                <w:u w:val="dotted"/>
                <w:lang w:val="sk-SK"/>
              </w:rPr>
              <w:t xml:space="preserve">                  </w:t>
            </w:r>
          </w:p>
        </w:tc>
      </w:tr>
      <w:tr>
        <w:trPr>
          <w:trHeight w:val="909" w:hRule="atLeast"/>
        </w:trPr>
        <w:tc>
          <w:tcPr>
            <w:tcW w:w="3324" w:type="dxa"/>
            <w:tcBorders/>
            <w:shd w:fill="auto" w:val="clear"/>
          </w:tcPr>
          <w:p>
            <w:pPr>
              <w:pStyle w:val="TableContents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prof. PhDr. Martin Hetényi, PhD.</w:t>
            </w:r>
          </w:p>
          <w:p>
            <w:pPr>
              <w:pStyle w:val="Normal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dekan FF UKF v Nitre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zástupca Poskytovateľa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Študent</w:t>
            </w:r>
          </w:p>
        </w:tc>
      </w:tr>
    </w:tbl>
    <w:p>
      <w:pPr>
        <w:pStyle w:val="Normal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ind w:start="397" w:hanging="397"/>
      </w:pPr>
    </w:lvl>
    <w:lvl w:ilvl="1">
      <w:start w:val="1"/>
      <w:numFmt w:val="decimal"/>
      <w:lvlText w:val="%2."/>
      <w:lvlJc w:val="start"/>
      <w:pPr>
        <w:ind w:start="1080" w:hanging="360"/>
      </w:pPr>
    </w:lvl>
    <w:lvl w:ilvl="2">
      <w:start w:val="1"/>
      <w:numFmt w:val="decimal"/>
      <w:lvlText w:val="%3."/>
      <w:lvlJc w:val="start"/>
      <w:pPr>
        <w:ind w:start="1440" w:hanging="360"/>
      </w:pPr>
    </w:lvl>
    <w:lvl w:ilvl="3">
      <w:start w:val="1"/>
      <w:numFmt w:val="decimal"/>
      <w:lvlText w:val="%4."/>
      <w:lvlJc w:val="start"/>
      <w:pPr>
        <w:ind w:start="1800" w:hanging="360"/>
      </w:pPr>
    </w:lvl>
    <w:lvl w:ilvl="4">
      <w:start w:val="1"/>
      <w:numFmt w:val="decimal"/>
      <w:lvlText w:val="%5."/>
      <w:lvlJc w:val="start"/>
      <w:pPr>
        <w:ind w:start="2160" w:hanging="360"/>
      </w:pPr>
    </w:lvl>
    <w:lvl w:ilvl="5">
      <w:start w:val="1"/>
      <w:numFmt w:val="decimal"/>
      <w:lvlText w:val="%6."/>
      <w:lvlJc w:val="start"/>
      <w:pPr>
        <w:ind w:start="2520" w:hanging="360"/>
      </w:pPr>
    </w:lvl>
    <w:lvl w:ilvl="6">
      <w:start w:val="1"/>
      <w:numFmt w:val="decimal"/>
      <w:lvlText w:val="%7."/>
      <w:lvlJc w:val="start"/>
      <w:pPr>
        <w:ind w:start="2880" w:hanging="360"/>
      </w:pPr>
    </w:lvl>
    <w:lvl w:ilvl="7">
      <w:start w:val="1"/>
      <w:numFmt w:val="decimal"/>
      <w:lvlText w:val="%8."/>
      <w:lvlJc w:val="start"/>
      <w:pPr>
        <w:ind w:start="3240" w:hanging="360"/>
      </w:pPr>
    </w:lvl>
    <w:lvl w:ilvl="8">
      <w:start w:val="1"/>
      <w:numFmt w:val="decimal"/>
      <w:lvlText w:val="%9."/>
      <w:lvlJc w:val="start"/>
      <w:pPr>
        <w:ind w:start="3600" w:hanging="360"/>
      </w:pPr>
    </w:lvl>
  </w:abstractNum>
  <w:abstractNum w:abstractNumId="2">
    <w:lvl w:ilvl="0">
      <w:start w:val="1"/>
      <w:numFmt w:val="decimal"/>
      <w:lvlText w:val="%1."/>
      <w:lvlJc w:val="start"/>
      <w:pPr>
        <w:ind w:start="397" w:hanging="397"/>
      </w:pPr>
    </w:lvl>
    <w:lvl w:ilvl="1">
      <w:start w:val="1"/>
      <w:numFmt w:val="decimal"/>
      <w:lvlText w:val="%2."/>
      <w:lvlJc w:val="start"/>
      <w:pPr>
        <w:ind w:start="1080" w:hanging="360"/>
      </w:pPr>
    </w:lvl>
    <w:lvl w:ilvl="2">
      <w:start w:val="1"/>
      <w:numFmt w:val="decimal"/>
      <w:lvlText w:val="%3."/>
      <w:lvlJc w:val="start"/>
      <w:pPr>
        <w:ind w:start="1440" w:hanging="360"/>
      </w:pPr>
    </w:lvl>
    <w:lvl w:ilvl="3">
      <w:start w:val="1"/>
      <w:numFmt w:val="decimal"/>
      <w:lvlText w:val="%4."/>
      <w:lvlJc w:val="start"/>
      <w:pPr>
        <w:ind w:start="1800" w:hanging="360"/>
      </w:pPr>
    </w:lvl>
    <w:lvl w:ilvl="4">
      <w:start w:val="1"/>
      <w:numFmt w:val="decimal"/>
      <w:lvlText w:val="%5."/>
      <w:lvlJc w:val="start"/>
      <w:pPr>
        <w:ind w:start="2160" w:hanging="360"/>
      </w:pPr>
    </w:lvl>
    <w:lvl w:ilvl="5">
      <w:start w:val="1"/>
      <w:numFmt w:val="decimal"/>
      <w:lvlText w:val="%6."/>
      <w:lvlJc w:val="start"/>
      <w:pPr>
        <w:ind w:start="2520" w:hanging="360"/>
      </w:pPr>
    </w:lvl>
    <w:lvl w:ilvl="6">
      <w:start w:val="1"/>
      <w:numFmt w:val="decimal"/>
      <w:lvlText w:val="%7."/>
      <w:lvlJc w:val="start"/>
      <w:pPr>
        <w:ind w:start="2880" w:hanging="360"/>
      </w:pPr>
    </w:lvl>
    <w:lvl w:ilvl="7">
      <w:start w:val="1"/>
      <w:numFmt w:val="decimal"/>
      <w:lvlText w:val="%8."/>
      <w:lvlJc w:val="start"/>
      <w:pPr>
        <w:ind w:start="3240" w:hanging="360"/>
      </w:pPr>
    </w:lvl>
    <w:lvl w:ilvl="8">
      <w:start w:val="1"/>
      <w:numFmt w:val="decimal"/>
      <w:lvlText w:val="%9."/>
      <w:lvlJc w:val="start"/>
      <w:pPr>
        <w:ind w:start="3600" w:hanging="360"/>
      </w:pPr>
    </w:lvl>
  </w:abstractNum>
  <w:abstractNum w:abstractNumId="3">
    <w:lvl w:ilvl="0">
      <w:start w:val="1"/>
      <w:numFmt w:val="decimal"/>
      <w:lvlText w:val="%1."/>
      <w:lvlJc w:val="start"/>
      <w:pPr>
        <w:ind w:start="397" w:hanging="397"/>
      </w:pPr>
    </w:lvl>
    <w:lvl w:ilvl="1">
      <w:start w:val="1"/>
      <w:numFmt w:val="decimal"/>
      <w:lvlText w:val="%1.%2."/>
      <w:lvlJc w:val="start"/>
      <w:pPr>
        <w:ind w:start="397" w:hanging="397"/>
      </w:pPr>
    </w:lvl>
    <w:lvl w:ilvl="2">
      <w:start w:val="1"/>
      <w:numFmt w:val="lowerLetter"/>
      <w:lvlText w:val="%3)"/>
      <w:lvlJc w:val="start"/>
      <w:pPr>
        <w:ind w:start="624" w:hanging="227"/>
      </w:pPr>
    </w:lvl>
    <w:lvl w:ilvl="3">
      <w:start w:val="1"/>
      <w:numFmt w:val="none"/>
      <w:suff w:val="nothing"/>
      <w:lvlText w:val="-"/>
      <w:lvlJc w:val="start"/>
      <w:pPr>
        <w:ind w:start="737" w:hanging="113"/>
      </w:pPr>
      <w:rPr>
        <w:rFonts w:ascii="OpenSymbol" w:hAnsi="OpenSymbol" w:eastAsia="OpenSymbol" w:cs="OpenSymbol"/>
      </w:rPr>
    </w:lvl>
    <w:lvl w:ilvl="4">
      <w:start w:val="1"/>
      <w:numFmt w:val="decimal"/>
      <w:lvlText w:val="%5."/>
      <w:lvlJc w:val="start"/>
      <w:pPr>
        <w:ind w:start="2400" w:hanging="360"/>
      </w:pPr>
    </w:lvl>
    <w:lvl w:ilvl="5">
      <w:start w:val="1"/>
      <w:numFmt w:val="decimal"/>
      <w:lvlText w:val="%6."/>
      <w:lvlJc w:val="start"/>
      <w:pPr>
        <w:ind w:start="2760" w:hanging="360"/>
      </w:pPr>
    </w:lvl>
    <w:lvl w:ilvl="6">
      <w:start w:val="1"/>
      <w:numFmt w:val="decimal"/>
      <w:lvlText w:val="%7."/>
      <w:lvlJc w:val="start"/>
      <w:pPr>
        <w:ind w:start="3120" w:hanging="360"/>
      </w:pPr>
    </w:lvl>
    <w:lvl w:ilvl="7">
      <w:start w:val="1"/>
      <w:numFmt w:val="decimal"/>
      <w:lvlText w:val="%8."/>
      <w:lvlJc w:val="start"/>
      <w:pPr>
        <w:ind w:start="3480" w:hanging="360"/>
      </w:pPr>
    </w:lvl>
    <w:lvl w:ilvl="8">
      <w:start w:val="1"/>
      <w:numFmt w:val="decimal"/>
      <w:lvlText w:val="%9."/>
      <w:lvlJc w:val="start"/>
      <w:pPr>
        <w:ind w:start="3840" w:hanging="360"/>
      </w:pPr>
    </w:lvl>
  </w:abstractNum>
  <w:abstractNum w:abstractNumId="4">
    <w:lvl w:ilvl="0">
      <w:start w:val="1"/>
      <w:numFmt w:val="decimal"/>
      <w:lvlText w:val="%1."/>
      <w:lvlJc w:val="start"/>
      <w:pPr>
        <w:ind w:start="397" w:hanging="397"/>
      </w:pPr>
    </w:lvl>
    <w:lvl w:ilvl="1">
      <w:start w:val="1"/>
      <w:numFmt w:val="decimal"/>
      <w:lvlText w:val="%2."/>
      <w:lvlJc w:val="start"/>
      <w:pPr>
        <w:ind w:start="1080" w:hanging="360"/>
      </w:pPr>
    </w:lvl>
    <w:lvl w:ilvl="2">
      <w:start w:val="1"/>
      <w:numFmt w:val="decimal"/>
      <w:lvlText w:val="%3."/>
      <w:lvlJc w:val="start"/>
      <w:pPr>
        <w:ind w:start="1440" w:hanging="360"/>
      </w:pPr>
    </w:lvl>
    <w:lvl w:ilvl="3">
      <w:start w:val="1"/>
      <w:numFmt w:val="decimal"/>
      <w:lvlText w:val="%4."/>
      <w:lvlJc w:val="start"/>
      <w:pPr>
        <w:ind w:start="1800" w:hanging="360"/>
      </w:pPr>
    </w:lvl>
    <w:lvl w:ilvl="4">
      <w:start w:val="1"/>
      <w:numFmt w:val="decimal"/>
      <w:lvlText w:val="%5."/>
      <w:lvlJc w:val="start"/>
      <w:pPr>
        <w:ind w:start="2160" w:hanging="360"/>
      </w:pPr>
    </w:lvl>
    <w:lvl w:ilvl="5">
      <w:start w:val="1"/>
      <w:numFmt w:val="decimal"/>
      <w:lvlText w:val="%6."/>
      <w:lvlJc w:val="start"/>
      <w:pPr>
        <w:ind w:start="2520" w:hanging="360"/>
      </w:pPr>
    </w:lvl>
    <w:lvl w:ilvl="6">
      <w:start w:val="1"/>
      <w:numFmt w:val="decimal"/>
      <w:lvlText w:val="%7."/>
      <w:lvlJc w:val="start"/>
      <w:pPr>
        <w:ind w:start="2880" w:hanging="360"/>
      </w:pPr>
    </w:lvl>
    <w:lvl w:ilvl="7">
      <w:start w:val="1"/>
      <w:numFmt w:val="decimal"/>
      <w:lvlText w:val="%8."/>
      <w:lvlJc w:val="start"/>
      <w:pPr>
        <w:ind w:start="3240" w:hanging="360"/>
      </w:pPr>
    </w:lvl>
    <w:lvl w:ilvl="8">
      <w:start w:val="1"/>
      <w:numFmt w:val="decimal"/>
      <w:lvlText w:val="%9."/>
      <w:lvlJc w:val="start"/>
      <w:pPr>
        <w:ind w:start="3600" w:hanging="360"/>
      </w:pPr>
    </w:lvl>
  </w:abstractNum>
  <w:abstractNum w:abstractNumId="5">
    <w:lvl w:ilvl="0">
      <w:start w:val="1"/>
      <w:numFmt w:val="decimal"/>
      <w:lvlText w:val="%1."/>
      <w:lvlJc w:val="start"/>
      <w:pPr>
        <w:ind w:start="397" w:hanging="397"/>
      </w:pPr>
    </w:lvl>
    <w:lvl w:ilvl="1">
      <w:start w:val="1"/>
      <w:numFmt w:val="decimal"/>
      <w:lvlText w:val="%2."/>
      <w:lvlJc w:val="start"/>
      <w:pPr>
        <w:ind w:start="1080" w:hanging="360"/>
      </w:pPr>
    </w:lvl>
    <w:lvl w:ilvl="2">
      <w:start w:val="1"/>
      <w:numFmt w:val="decimal"/>
      <w:lvlText w:val="%3."/>
      <w:lvlJc w:val="start"/>
      <w:pPr>
        <w:ind w:start="1440" w:hanging="360"/>
      </w:pPr>
    </w:lvl>
    <w:lvl w:ilvl="3">
      <w:start w:val="1"/>
      <w:numFmt w:val="decimal"/>
      <w:lvlText w:val="%4."/>
      <w:lvlJc w:val="start"/>
      <w:pPr>
        <w:ind w:start="1800" w:hanging="360"/>
      </w:pPr>
    </w:lvl>
    <w:lvl w:ilvl="4">
      <w:start w:val="1"/>
      <w:numFmt w:val="decimal"/>
      <w:lvlText w:val="%5."/>
      <w:lvlJc w:val="start"/>
      <w:pPr>
        <w:ind w:start="2160" w:hanging="360"/>
      </w:pPr>
    </w:lvl>
    <w:lvl w:ilvl="5">
      <w:start w:val="1"/>
      <w:numFmt w:val="decimal"/>
      <w:lvlText w:val="%6."/>
      <w:lvlJc w:val="start"/>
      <w:pPr>
        <w:ind w:start="2520" w:hanging="360"/>
      </w:pPr>
    </w:lvl>
    <w:lvl w:ilvl="6">
      <w:start w:val="1"/>
      <w:numFmt w:val="decimal"/>
      <w:lvlText w:val="%7."/>
      <w:lvlJc w:val="start"/>
      <w:pPr>
        <w:ind w:start="2880" w:hanging="360"/>
      </w:pPr>
    </w:lvl>
    <w:lvl w:ilvl="7">
      <w:start w:val="1"/>
      <w:numFmt w:val="decimal"/>
      <w:lvlText w:val="%8."/>
      <w:lvlJc w:val="start"/>
      <w:pPr>
        <w:ind w:start="3240" w:hanging="360"/>
      </w:pPr>
    </w:lvl>
    <w:lvl w:ilvl="8">
      <w:start w:val="1"/>
      <w:numFmt w:val="decimal"/>
      <w:lvlText w:val="%9."/>
      <w:lvlJc w:val="start"/>
      <w:pPr>
        <w:ind w:start="3600" w:hanging="360"/>
      </w:pPr>
    </w:lvl>
  </w:abstractNum>
  <w:abstractNum w:abstractNumId="6">
    <w:lvl w:ilvl="0">
      <w:start w:val="1"/>
      <w:numFmt w:val="decimal"/>
      <w:lvlText w:val="%1."/>
      <w:lvlJc w:val="start"/>
      <w:pPr>
        <w:ind w:start="397" w:hanging="397"/>
      </w:pPr>
    </w:lvl>
    <w:lvl w:ilvl="1">
      <w:start w:val="1"/>
      <w:numFmt w:val="decimal"/>
      <w:lvlText w:val="%2."/>
      <w:lvlJc w:val="start"/>
      <w:pPr>
        <w:ind w:start="1080" w:hanging="360"/>
      </w:pPr>
    </w:lvl>
    <w:lvl w:ilvl="2">
      <w:start w:val="1"/>
      <w:numFmt w:val="decimal"/>
      <w:lvlText w:val="%3."/>
      <w:lvlJc w:val="start"/>
      <w:pPr>
        <w:ind w:start="1440" w:hanging="360"/>
      </w:pPr>
    </w:lvl>
    <w:lvl w:ilvl="3">
      <w:start w:val="1"/>
      <w:numFmt w:val="decimal"/>
      <w:lvlText w:val="%4."/>
      <w:lvlJc w:val="start"/>
      <w:pPr>
        <w:ind w:start="1800" w:hanging="360"/>
      </w:pPr>
    </w:lvl>
    <w:lvl w:ilvl="4">
      <w:start w:val="1"/>
      <w:numFmt w:val="decimal"/>
      <w:lvlText w:val="%5."/>
      <w:lvlJc w:val="start"/>
      <w:pPr>
        <w:ind w:start="2160" w:hanging="360"/>
      </w:pPr>
    </w:lvl>
    <w:lvl w:ilvl="5">
      <w:start w:val="1"/>
      <w:numFmt w:val="decimal"/>
      <w:lvlText w:val="%6."/>
      <w:lvlJc w:val="start"/>
      <w:pPr>
        <w:ind w:start="2520" w:hanging="360"/>
      </w:pPr>
    </w:lvl>
    <w:lvl w:ilvl="6">
      <w:start w:val="1"/>
      <w:numFmt w:val="decimal"/>
      <w:lvlText w:val="%7."/>
      <w:lvlJc w:val="start"/>
      <w:pPr>
        <w:ind w:start="2880" w:hanging="360"/>
      </w:pPr>
    </w:lvl>
    <w:lvl w:ilvl="7">
      <w:start w:val="1"/>
      <w:numFmt w:val="decimal"/>
      <w:lvlText w:val="%8."/>
      <w:lvlJc w:val="start"/>
      <w:pPr>
        <w:ind w:start="3240" w:hanging="360"/>
      </w:pPr>
    </w:lvl>
    <w:lvl w:ilvl="8">
      <w:start w:val="1"/>
      <w:numFmt w:val="decimal"/>
      <w:lvlText w:val="%9."/>
      <w:lvlJc w:val="start"/>
      <w:pPr>
        <w:ind w:start="3600" w:hanging="360"/>
      </w:pPr>
    </w:lvl>
  </w:abstractNum>
  <w:abstractNum w:abstractNumId="7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Predvolenpsmoodseku">
    <w:name w:val="Predvolené písmo odseku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CommentTextChar">
    <w:name w:val="Comment Text Char"/>
    <w:basedOn w:val="Predvolenpsmoodseku"/>
    <w:qFormat/>
    <w:rPr>
      <w:rFonts w:cs="Mangal"/>
      <w:sz w:val="20"/>
      <w:szCs w:val="18"/>
    </w:rPr>
  </w:style>
  <w:style w:type="character" w:styleId="CommentReference">
    <w:name w:val="Comment Reference"/>
    <w:basedOn w:val="Predvolenpsmoodseku"/>
    <w:qFormat/>
    <w:rPr>
      <w:sz w:val="16"/>
      <w:szCs w:val="16"/>
    </w:rPr>
  </w:style>
  <w:style w:type="character" w:styleId="CommentSubjectChar">
    <w:name w:val="Comment Subject Char"/>
    <w:basedOn w:val="CommentTextChar"/>
    <w:qFormat/>
    <w:rPr>
      <w:rFonts w:cs="Mangal"/>
      <w:b/>
      <w:bCs/>
      <w:sz w:val="20"/>
      <w:szCs w:val="18"/>
    </w:rPr>
  </w:style>
  <w:style w:type="character" w:styleId="TextbublinyChar">
    <w:name w:val="Text bubliny Char"/>
    <w:basedOn w:val="Predvolenpsmoodseku"/>
    <w:qFormat/>
    <w:rPr>
      <w:rFonts w:ascii="Segoe UI" w:hAnsi="Segoe UI" w:cs="Mangal"/>
      <w:sz w:val="18"/>
      <w:szCs w:val="16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paragraph" w:styleId="Normlny">
    <w:name w:val="Normá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Zoznam">
    <w:name w:val="Zoznam"/>
    <w:basedOn w:val="TextBody"/>
    <w:qFormat/>
    <w:pPr>
      <w:suppressAutoHyphens w:val="true"/>
    </w:pPr>
    <w:rPr/>
  </w:style>
  <w:style w:type="paragraph" w:styleId="Popis">
    <w:name w:val="Popis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CommentText">
    <w:name w:val="Comment Text"/>
    <w:basedOn w:val="Normlny"/>
    <w:qFormat/>
    <w:pPr>
      <w:suppressAutoHyphens w:val="true"/>
    </w:pPr>
    <w:rPr>
      <w:rFonts w:cs="Mangal"/>
      <w:sz w:val="20"/>
      <w:szCs w:val="18"/>
    </w:rPr>
  </w:style>
  <w:style w:type="paragraph" w:styleId="CommentSubject">
    <w:name w:val="Comment Subject"/>
    <w:basedOn w:val="CommentText"/>
    <w:next w:val="CommentText"/>
    <w:qFormat/>
    <w:pPr>
      <w:suppressAutoHyphens w:val="true"/>
    </w:pPr>
    <w:rPr>
      <w:b/>
      <w:bCs/>
    </w:rPr>
  </w:style>
  <w:style w:type="paragraph" w:styleId="Revzia">
    <w:name w:val="Revízia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auto"/>
    </w:pPr>
    <w:rPr>
      <w:rFonts w:cs="Mangal" w:ascii="Liberation Serif" w:hAnsi="Liberation Serif" w:eastAsia="N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1"/>
      <w:u w:val="none"/>
      <w:vertAlign w:val="baseline"/>
      <w:em w:val="none"/>
      <w:lang w:val="en-US" w:eastAsia="zh-CN" w:bidi="hi-IN"/>
    </w:rPr>
  </w:style>
  <w:style w:type="paragraph" w:styleId="Textbubliny">
    <w:name w:val="Text bubliny"/>
    <w:basedOn w:val="Normlny"/>
    <w:qFormat/>
    <w:pPr>
      <w:suppressAutoHyphens w:val="true"/>
    </w:pPr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4</Pages>
  <Words>920</Words>
  <Characters>5697</Characters>
  <CharactersWithSpaces>6598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2024-02-21T08:10:00Z</dcterms:created>
  <dc:creator>Martin Kažimír</dc:creator>
  <dc:description/>
  <dc:language>en-US</dc:language>
  <cp:lastModifiedBy>Používateľ</cp:lastModifiedBy>
  <cp:lastPrinted>2023-03-08T17:30:00Z</cp:lastPrinted>
  <dcterms:modified xsi:type="dcterms:W3CDTF">2024-02-21T08:10:00Z</dcterms:modified>
  <cp:revision>2</cp:revision>
  <dc:subject/>
  <dc:title/>
</cp:coreProperties>
</file>